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1" w:rsidRDefault="00B21011" w:rsidP="00B21011">
      <w:pPr>
        <w:rPr>
          <w:rFonts w:ascii="Garamond" w:hAnsi="Garamond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258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900"/>
        <w:gridCol w:w="44"/>
        <w:gridCol w:w="1062"/>
        <w:gridCol w:w="1065"/>
        <w:gridCol w:w="2080"/>
        <w:gridCol w:w="2080"/>
      </w:tblGrid>
      <w:tr w:rsidR="00B21011" w:rsidRPr="00FA07C6" w:rsidTr="003214FB">
        <w:trPr>
          <w:trHeight w:val="315"/>
        </w:trPr>
        <w:tc>
          <w:tcPr>
            <w:tcW w:w="10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TROŠKOVNIK</w:t>
            </w:r>
          </w:p>
        </w:tc>
      </w:tr>
      <w:tr w:rsidR="00B21011" w:rsidRPr="00FA07C6" w:rsidTr="003214FB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Predmet nabave: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810"/>
        </w:trPr>
        <w:tc>
          <w:tcPr>
            <w:tcW w:w="10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/>
                <w:b/>
                <w:bCs/>
              </w:rPr>
            </w:pPr>
            <w:r w:rsidRPr="00FA07C6">
              <w:rPr>
                <w:rFonts w:ascii="Garamond" w:hAnsi="Garamond"/>
                <w:b/>
                <w:bCs/>
              </w:rPr>
              <w:t xml:space="preserve">Izvođenje radova na sanaciji AB konstrukcije nadstrešnice na graničnom prijelazu </w:t>
            </w:r>
            <w:proofErr w:type="spellStart"/>
            <w:r w:rsidRPr="00FA07C6">
              <w:rPr>
                <w:rFonts w:ascii="Garamond" w:hAnsi="Garamond"/>
                <w:b/>
                <w:bCs/>
              </w:rPr>
              <w:t>Duboševica</w:t>
            </w:r>
            <w:proofErr w:type="spellEnd"/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10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 xml:space="preserve">Ponuditelj nudi cijene Predmeta nabave putem ovog Troškovnika, te je obvezan nuditi, odnosno ispuniti sve stavke Troškovnika. </w:t>
            </w:r>
          </w:p>
        </w:tc>
      </w:tr>
      <w:tr w:rsidR="00B21011" w:rsidRPr="00FA07C6" w:rsidTr="003214FB">
        <w:trPr>
          <w:trHeight w:val="255"/>
        </w:trPr>
        <w:tc>
          <w:tcPr>
            <w:tcW w:w="8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Nije prihvatljivo precrtavanje ili korigiranje zadane stavke Troškovnika.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642"/>
        </w:trPr>
        <w:tc>
          <w:tcPr>
            <w:tcW w:w="691" w:type="dxa"/>
            <w:tcBorders>
              <w:top w:val="single" w:sz="4" w:space="0" w:color="auto"/>
            </w:tcBorders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Red. br.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Naziv i opis stavke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Količina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Jedinica mjere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Jedinična cijena u kunama bez PDV-a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Ukupna cijena u kunama bez PDV-a</w:t>
            </w:r>
          </w:p>
        </w:tc>
      </w:tr>
      <w:tr w:rsidR="00B21011" w:rsidRPr="00FA07C6" w:rsidTr="003214FB">
        <w:trPr>
          <w:trHeight w:val="458"/>
        </w:trPr>
        <w:tc>
          <w:tcPr>
            <w:tcW w:w="691" w:type="dxa"/>
            <w:shd w:val="clear" w:color="auto" w:fill="auto"/>
            <w:noWrap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A</w:t>
            </w:r>
          </w:p>
        </w:tc>
        <w:tc>
          <w:tcPr>
            <w:tcW w:w="10218" w:type="dxa"/>
            <w:gridSpan w:val="6"/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GRAĐEVINSKI RADOVI</w:t>
            </w:r>
          </w:p>
        </w:tc>
      </w:tr>
      <w:tr w:rsidR="00B21011" w:rsidRPr="00FA07C6" w:rsidTr="003214FB">
        <w:trPr>
          <w:trHeight w:val="257"/>
        </w:trPr>
        <w:tc>
          <w:tcPr>
            <w:tcW w:w="691" w:type="dxa"/>
            <w:shd w:val="clear" w:color="auto" w:fill="auto"/>
            <w:noWrap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UKLANJANJE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B21011">
        <w:trPr>
          <w:trHeight w:val="1674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1.1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Podupiranje postojeće AB krovne konstrukcije na dijelu gdje se ruše dijelovi oštećenih AB nosača. Visina podupiranja je 3,80÷4,60 m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>Obračun prema horizontalnoj projekciji krovnih ploha.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34,60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vertAlign w:val="superscript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B21011">
        <w:trPr>
          <w:trHeight w:val="2833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1.2</w:t>
            </w: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Ručno rušenje oštećenih dijelova AB nosača na visini od 4 m. Nosači su presjeka 16×60 cm, ukupne dužine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17 m (6,7+6,7+3,6). Ispod dijela nosača koji se uklanja montirati skelu sa podnicom priljubljenom uz njegov donji rub, kako bi se spriječilo moguće urušavanje nosača. Utovar urušenog materijala u vozilo. U cijenu uračunati sav rad, sredstva za rad i materijal.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vertAlign w:val="superscript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B21011">
        <w:trPr>
          <w:trHeight w:val="225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1.3</w:t>
            </w: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Demontaža postojećih nadžbuknih električnih instalacija i rasvjetnih tijela. Prije početka demontaže treba pozvati električara kako bi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odspojio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instalacije sa elektroenergetske mreže.</w:t>
            </w:r>
          </w:p>
          <w:p w:rsidR="00B21011" w:rsidRPr="00FA07C6" w:rsidRDefault="00B21011" w:rsidP="00B21011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Odvoz otpadnog materijala s gradilišta na najbliže odlagalište građevinskog otpada.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kom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108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1.4</w:t>
            </w: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Odvoz otpadnog materijala s gradilišta na najbliže odlagalište građevinskog otpada.</w:t>
            </w:r>
          </w:p>
          <w:p w:rsidR="00B21011" w:rsidRPr="00FA07C6" w:rsidRDefault="00B21011" w:rsidP="00B21011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Koeficijent rastresitosti za beton: 1,4.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2,38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b/>
                <w:color w:val="000000"/>
              </w:rPr>
              <w:t>UKLANJANJE UKUPNO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1090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2.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b/>
                <w:color w:val="000000"/>
              </w:rPr>
              <w:t>ZEMLJANI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1125"/>
        </w:trPr>
        <w:tc>
          <w:tcPr>
            <w:tcW w:w="6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2.1</w:t>
            </w: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</w:tcBorders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Iskop pojedinačnog temelja veličine 1,60 × 0,90 m, dubine do 0,6 m za temelj čelične konstrukcije nosača table za kontrolu visine vozila; tlo III. kat.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0,90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8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Zatrpavanje oko temelja zemljom i materijalom dobivenim od iskopa uz potrebno nabijanje.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0,05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170"/>
        </w:trPr>
        <w:tc>
          <w:tcPr>
            <w:tcW w:w="691" w:type="dxa"/>
            <w:shd w:val="clear" w:color="auto" w:fill="auto"/>
            <w:noWrap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2.3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>Utovar i prijevoz viška iskopanog zemljanog materijala od mjesta iskopa do najbližeg odlagališta građevinskog otpada.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>Količina prevezenog materijala mjeri se u m³ iskopanog materijala množeno s koeficijentom rastresitosti.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1,06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ZEMLJANI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  <w:b/>
              </w:rPr>
              <w:t>ARMIRAČKI RADOVI</w:t>
            </w:r>
          </w:p>
        </w:tc>
        <w:tc>
          <w:tcPr>
            <w:tcW w:w="6318" w:type="dxa"/>
            <w:gridSpan w:val="5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1620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3.1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Nabava, obrada (sječenje i savijanje), doprema na gradilište postava i povezivanje armature za temelj konstrukcije za kontrolu visine; čelik B500B.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Rebrasta armatura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120,00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kg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ARMIRAČKI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4.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BETONSKI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3214FB">
        <w:trPr>
          <w:trHeight w:val="810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4.1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Nabavka i ugradnja betona za temeljnu stopu čeličnog stupa. Oblik temelja prema projektu; od betona C 25/30.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0,90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BETONSKI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5.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ZIDARSKI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vMerge w:val="restart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5.1</w:t>
            </w:r>
          </w:p>
        </w:tc>
        <w:tc>
          <w:tcPr>
            <w:tcW w:w="3944" w:type="dxa"/>
            <w:gridSpan w:val="2"/>
            <w:vMerge w:val="restart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Mehaničko čišćenje manjih oštećenja i odstranjivanje oštećenog i nevezanog betona na AB konstrukciji nadstrešnice. Čišćenje izvesti pranjem vodom pod visokim pritiskom. Na mjestima gdje je armatura ostala bez zaštitnog sloja betona i korodirala treba ukloniti hrđu sredstvom za uklanjanje hrđe. Pri tome se pridržavati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uputstva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proizvođača odabranog sredstva. Stavka uključuje sav materijal, sredstva za rad i rad. Rad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</w:t>
            </w:r>
          </w:p>
        </w:tc>
        <w:tc>
          <w:tcPr>
            <w:tcW w:w="1049" w:type="dxa"/>
            <w:vMerge w:val="restart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1,50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bottom w:val="nil"/>
            </w:tcBorders>
            <w:shd w:val="clear" w:color="auto" w:fill="auto"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vMerge w:val="restart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vMerge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vMerge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687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lastRenderedPageBreak/>
              <w:t>5.2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Premazivanje očišćenih površina sa vezom i saniranje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tiksotropnim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reparaturnim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mortom sa kompenziranim skupljanjem koji se može lako nanositi i na vertikalne površine u debljini 5 do 35mm. Radovi se izvode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 Stavka uključuje sav materijal, sredstva za rad i rad. Rad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1,50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</w:t>
            </w:r>
            <w:r w:rsidRPr="00FA07C6"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ZIDARSKI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6.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MONTAŽNI RADOVI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970"/>
        </w:trPr>
        <w:tc>
          <w:tcPr>
            <w:tcW w:w="691" w:type="dxa"/>
            <w:shd w:val="clear" w:color="auto" w:fill="auto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6.1</w:t>
            </w: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Default="00B21011" w:rsidP="00B21011">
            <w:pPr>
              <w:rPr>
                <w:rFonts w:ascii="Garamond" w:hAnsi="Garamond" w:cs="Arial"/>
              </w:rPr>
            </w:pPr>
          </w:p>
          <w:p w:rsidR="00B21011" w:rsidRPr="00B21011" w:rsidRDefault="00B21011" w:rsidP="00B21011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Dobava, izrada i montaža čelične konstrukcije nosača limene table koja služi za kontrolu visine vozila. Sklopovi izrađeni u radionici u zavarenoj izvedbi iz čelika S235 prema radioničkim nacrtima. Glavna nosiva konstrukcija se izvodi od pravokutnih cijevnih profila. Montaža na gradilištu u vijčanoj izvedbi vijcima kvalitete 8.8.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color w:val="000000"/>
              </w:rPr>
              <w:t>Antikorozivna zaštita premazima (2 osnovna).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250,00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kg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970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  <w:b/>
              </w:rPr>
              <w:t>6.2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B21011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Dobava izrada i montaža čelične konstrukcije glavnih nosača nadstrešnice; 2 kom od 6,8 m i 1 kom od 3,6 m. Nosač je sastavljen od 2×IPE_270 profila. Spoj čeličnog nosača i betonskih krovnih ploča se ostvaruje uz pomoć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epoksidnog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ljepila koje se na osi na cijelu gornju površinu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pojasnice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čeličnog nosača. Okomito na glavne nosače montiraju se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ukrutni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nosači koji su izrađeni od dva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kutijasta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profila 160/80/4 mm.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Ukrutni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nosači se spajaju vijcima preko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čvornih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ploča na glavne nosače.</w:t>
            </w:r>
          </w:p>
          <w:p w:rsidR="00B21011" w:rsidRPr="00FA07C6" w:rsidRDefault="00B21011" w:rsidP="00B21011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>Sklopovi izrađeni u radionici u zavarenoj izvedbi iz čelika S235 prema radioničkim nacrtima. Montaža na gradilištu u vijčanoj izvedbi vijcima kvalitete 8.8.</w:t>
            </w:r>
          </w:p>
          <w:p w:rsidR="00B21011" w:rsidRPr="00FA07C6" w:rsidRDefault="00B21011" w:rsidP="00B21011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Antikorozivna zaštita premazima 2 osnovna + 2 pokrivna. Nakon postavljanja konstrukcije manja oštećenja antikorozivne zaštite potrebno je ponovo zaštititi odgovarajućim premazom.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Ukrutni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nosači se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bojaju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završnim bijelim premazom; kao i cijela A</w:t>
            </w:r>
            <w:r>
              <w:rPr>
                <w:rFonts w:ascii="Garamond" w:hAnsi="Garamond"/>
                <w:color w:val="000000"/>
              </w:rPr>
              <w:t>B</w:t>
            </w:r>
            <w:r w:rsidRPr="00FA07C6">
              <w:rPr>
                <w:rFonts w:ascii="Garamond" w:hAnsi="Garamond"/>
                <w:color w:val="000000"/>
              </w:rPr>
              <w:t xml:space="preserve"> konstrukcija nadstrešnice.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1.400,00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kg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B21011">
        <w:trPr>
          <w:trHeight w:val="276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516"/>
        </w:trPr>
        <w:tc>
          <w:tcPr>
            <w:tcW w:w="691" w:type="dxa"/>
            <w:shd w:val="clear" w:color="auto" w:fill="auto"/>
          </w:tcPr>
          <w:p w:rsidR="00B21011" w:rsidRPr="007A3E54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7A3E54">
              <w:rPr>
                <w:rFonts w:ascii="Garamond" w:hAnsi="Garamond" w:cs="Arial"/>
              </w:rPr>
              <w:t>6.3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Dobava izrada i montaža čeličnih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anker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ploča iz čelika S235 prema radioničkim nacrtima. Predviđena je montaža i sidrenje u AB nosače uz pomoć 8 sidara sa smolom. Na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anker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ploči se nalaze 4 konusne rupe kroz koju prolazi glavna armatura AB nosača i koja se vari za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anker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ploču na licu mjesta. Dobar spoj i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prijanjanje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čelične ploče i čela glavnog nosača se ostvaruje pomoću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dvokomponentnog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epoksidnog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ljepila. Antikorozivna zaštita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premaznim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sredstvima. Detalje izvedbe pogledati u nacrtima. Montaža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anker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ploče je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4m.</w:t>
            </w:r>
          </w:p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Nakon postavljanja konstrukcije manja oštećenja antikorozivne zaštite potrebno je ponovo zaštititi odgovarajućim premazom.  Obračun po kom ugrađene spojne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anker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ploče.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kom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7A3E54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7A3E54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7A3E54" w:rsidRDefault="00B21011" w:rsidP="003214FB">
            <w:pPr>
              <w:rPr>
                <w:rFonts w:ascii="Garamond" w:hAnsi="Garamond"/>
                <w:b/>
                <w:color w:val="000000"/>
              </w:rPr>
            </w:pPr>
            <w:r w:rsidRPr="007A3E54">
              <w:rPr>
                <w:rFonts w:ascii="Garamond" w:hAnsi="Garamond"/>
                <w:b/>
                <w:color w:val="000000"/>
              </w:rPr>
              <w:t>MONTAŽNI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7A3E54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0218" w:type="dxa"/>
            <w:gridSpan w:val="6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B</w:t>
            </w:r>
          </w:p>
        </w:tc>
        <w:tc>
          <w:tcPr>
            <w:tcW w:w="10218" w:type="dxa"/>
            <w:gridSpan w:val="6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/>
                <w:b/>
                <w:color w:val="000000"/>
              </w:rPr>
              <w:t>OBRTNIČKI RADOVI</w:t>
            </w: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0218" w:type="dxa"/>
            <w:gridSpan w:val="6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b/>
                <w:color w:val="000000"/>
              </w:rPr>
            </w:pPr>
            <w:r w:rsidRPr="00FA07C6">
              <w:rPr>
                <w:rFonts w:ascii="Garamond" w:hAnsi="Garamond"/>
                <w:b/>
                <w:color w:val="000000"/>
              </w:rPr>
              <w:t>LIMARSKI RADOVI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3214FB">
        <w:trPr>
          <w:trHeight w:val="2988"/>
        </w:trPr>
        <w:tc>
          <w:tcPr>
            <w:tcW w:w="691" w:type="dxa"/>
            <w:shd w:val="clear" w:color="auto" w:fill="auto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1.1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Dobava, krojenje i montaža obloge i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potkonstrukcije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obloge čeličnih glavnih nosača pocinčanim bojanim limom debljine 0,55 mm. Odabrati bijelu boju lima, ton što sličniji boji kojom se boja AB konstrukcija nadstrešnice.</w:t>
            </w:r>
          </w:p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U cijenu je uključena konstrukcija sa svim spojnim sredstvima te sav rad i materijal. Obračun po m2 ugrađenih proizvoda.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49,00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  <w:b/>
                <w:i/>
              </w:rPr>
              <w:t>LIMARSKI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218" w:type="dxa"/>
            <w:gridSpan w:val="6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2.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  <w:r w:rsidRPr="00FA07C6">
              <w:rPr>
                <w:rFonts w:ascii="Garamond" w:hAnsi="Garamond" w:cs="Arial"/>
                <w:b/>
              </w:rPr>
              <w:t>LIČILAČKI RADOVI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</w:rPr>
            </w:pPr>
          </w:p>
        </w:tc>
      </w:tr>
      <w:tr w:rsidR="00B21011" w:rsidRPr="00FA07C6" w:rsidTr="00B21011">
        <w:trPr>
          <w:trHeight w:val="98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2.1</w:t>
            </w: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lastRenderedPageBreak/>
              <w:t>Priprema betonske konstrukcije krovišta za bojenje. Mehanička priprema obuhvaća odstranjivanje nevezanih dijelova post</w:t>
            </w:r>
            <w:r>
              <w:rPr>
                <w:rFonts w:ascii="Garamond" w:hAnsi="Garamond"/>
                <w:color w:val="000000"/>
              </w:rPr>
              <w:t>o</w:t>
            </w:r>
            <w:r w:rsidRPr="00FA07C6">
              <w:rPr>
                <w:rFonts w:ascii="Garamond" w:hAnsi="Garamond"/>
                <w:color w:val="000000"/>
              </w:rPr>
              <w:t xml:space="preserve">jeće boje špahtlom, obradu svih površina čeličnim četkama i brusnim papirom,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otprašivanje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betonskih površina. U cijenu uključiti materijal, rad, sredstva za rad i radnu skelu. Rad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 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AB grede i glavni nosači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Poprečne ukrute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Krovne plohe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141,40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22,40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172,30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jc w:val="center"/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355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2.2</w:t>
            </w: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/>
                <w:color w:val="000000"/>
              </w:rPr>
              <w:t xml:space="preserve">Premazivanje betonskih površina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primerom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Primer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služi za impregnaciju podloge prije bojenja disperzijskim bojama, veže prašne dijelove koje nismo mogli odstraniti čišćenjem i omogućuje bolji prihvat boje.</w:t>
            </w:r>
          </w:p>
          <w:p w:rsidR="00B21011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U cijenu uključiti materijal, rad, sredstva za rad i radnu skelu. Rad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AB grede i glavni nosači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Poprečne ukrute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Krovne plohe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141,40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22,40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172,30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384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2.3</w:t>
            </w: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Premazivanje betonskih površina bijelom disperzijskom dekorativnom bojom za beton; u dva sloja. Koristiti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vodoodbojnu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boju otpornu na atmosferske utjecaje, koja odgovara zahtjevima norme HRN EN 1504-2.</w:t>
            </w:r>
          </w:p>
          <w:p w:rsidR="00B21011" w:rsidRPr="00FA07C6" w:rsidRDefault="00B21011" w:rsidP="003214FB">
            <w:pPr>
              <w:rPr>
                <w:rFonts w:ascii="Garamond" w:hAnsi="Garamond"/>
                <w:color w:val="000000"/>
              </w:rPr>
            </w:pPr>
          </w:p>
          <w:p w:rsidR="00B21011" w:rsidRDefault="00B21011" w:rsidP="003214FB">
            <w:pPr>
              <w:rPr>
                <w:rFonts w:ascii="Garamond" w:hAnsi="Garamond"/>
                <w:color w:val="000000"/>
              </w:rPr>
            </w:pPr>
            <w:r w:rsidRPr="00FA07C6">
              <w:rPr>
                <w:rFonts w:ascii="Garamond" w:hAnsi="Garamond"/>
                <w:color w:val="000000"/>
              </w:rPr>
              <w:t xml:space="preserve">U cijenu uključiti materijal, rad, sredstva za rad i radnu skelu. Rad na visini od </w:t>
            </w:r>
            <w:proofErr w:type="spellStart"/>
            <w:r w:rsidRPr="00FA07C6">
              <w:rPr>
                <w:rFonts w:ascii="Garamond" w:hAnsi="Garamond"/>
                <w:color w:val="000000"/>
              </w:rPr>
              <w:t>cca</w:t>
            </w:r>
            <w:proofErr w:type="spellEnd"/>
            <w:r w:rsidRPr="00FA07C6">
              <w:rPr>
                <w:rFonts w:ascii="Garamond" w:hAnsi="Garamond"/>
                <w:color w:val="000000"/>
              </w:rPr>
              <w:t xml:space="preserve"> 4 m.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AB grede i glavni nosači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Poprečne ukrute</w:t>
            </w:r>
          </w:p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</w:rPr>
              <w:t>Krovne plohe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141,40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22,40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172,30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  <w:vertAlign w:val="superscript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  <w:b/>
                <w:i/>
              </w:rPr>
              <w:t>LIČILAČKI RADOVI UKUPNO</w:t>
            </w: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1090"/>
        </w:trPr>
        <w:tc>
          <w:tcPr>
            <w:tcW w:w="1090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</w:p>
          <w:p w:rsidR="00B21011" w:rsidRDefault="00B21011" w:rsidP="003214FB">
            <w:pPr>
              <w:rPr>
                <w:rFonts w:ascii="Garamond" w:hAnsi="Garamond" w:cs="Arial"/>
                <w:b/>
                <w:i/>
              </w:rPr>
            </w:pPr>
            <w:r>
              <w:rPr>
                <w:rFonts w:ascii="Garamond" w:hAnsi="Garamond" w:cs="Arial"/>
                <w:b/>
                <w:i/>
              </w:rPr>
              <w:t>R</w:t>
            </w:r>
            <w:r w:rsidRPr="00FA07C6">
              <w:rPr>
                <w:rFonts w:ascii="Garamond" w:hAnsi="Garamond" w:cs="Arial"/>
                <w:b/>
                <w:i/>
              </w:rPr>
              <w:t>EKAPITULACIJA TROŠKOVA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682B82" w:rsidRDefault="00B21011" w:rsidP="003214FB">
            <w:pPr>
              <w:rPr>
                <w:rFonts w:ascii="Garamond" w:hAnsi="Garamond" w:cs="Arial"/>
                <w:b/>
              </w:rPr>
            </w:pPr>
            <w:r w:rsidRPr="00682B82">
              <w:rPr>
                <w:rFonts w:ascii="Garamond" w:hAnsi="Garamond" w:cs="Arial"/>
                <w:b/>
              </w:rPr>
              <w:lastRenderedPageBreak/>
              <w:t>A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  <w:b/>
                <w:i/>
              </w:rPr>
              <w:t>GRAĐEVINSKI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UKLANJANJE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ZEMLJANI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ARMIRAČKI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BETONSKI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ZIDARSKI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MONTAŽNI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682B82" w:rsidRDefault="00B21011" w:rsidP="003214FB">
            <w:pPr>
              <w:rPr>
                <w:rFonts w:ascii="Garamond" w:hAnsi="Garamond" w:cs="Arial"/>
                <w:b/>
              </w:rPr>
            </w:pPr>
            <w:r w:rsidRPr="00682B82">
              <w:rPr>
                <w:rFonts w:ascii="Garamond" w:hAnsi="Garamond" w:cs="Arial"/>
                <w:b/>
              </w:rPr>
              <w:t>B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FA07C6">
              <w:rPr>
                <w:rFonts w:ascii="Garamond" w:hAnsi="Garamond" w:cs="Arial"/>
                <w:b/>
                <w:i/>
              </w:rPr>
              <w:t>OBRTNIČKI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LIMARSKI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510"/>
        </w:trPr>
        <w:tc>
          <w:tcPr>
            <w:tcW w:w="691" w:type="dxa"/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LIČILAČKI RADOVI</w:t>
            </w:r>
          </w:p>
        </w:tc>
        <w:tc>
          <w:tcPr>
            <w:tcW w:w="6274" w:type="dxa"/>
            <w:gridSpan w:val="4"/>
            <w:shd w:val="clear" w:color="auto" w:fill="auto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shd w:val="clear" w:color="auto" w:fill="auto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6274" w:type="dxa"/>
            <w:gridSpan w:val="4"/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360"/>
        </w:trPr>
        <w:tc>
          <w:tcPr>
            <w:tcW w:w="4635" w:type="dxa"/>
            <w:gridSpan w:val="3"/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CIJENA PONUDE (kn bez PDV-a):</w:t>
            </w:r>
          </w:p>
        </w:tc>
        <w:tc>
          <w:tcPr>
            <w:tcW w:w="6274" w:type="dxa"/>
            <w:gridSpan w:val="4"/>
            <w:shd w:val="clear" w:color="000000" w:fill="FFFF99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 </w:t>
            </w:r>
          </w:p>
        </w:tc>
      </w:tr>
      <w:tr w:rsidR="00B21011" w:rsidRPr="00FA07C6" w:rsidTr="003214FB">
        <w:trPr>
          <w:trHeight w:val="360"/>
        </w:trPr>
        <w:tc>
          <w:tcPr>
            <w:tcW w:w="4635" w:type="dxa"/>
            <w:gridSpan w:val="3"/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STOPA I IZNOS PDV-a:</w:t>
            </w:r>
          </w:p>
        </w:tc>
        <w:tc>
          <w:tcPr>
            <w:tcW w:w="6274" w:type="dxa"/>
            <w:gridSpan w:val="4"/>
            <w:shd w:val="clear" w:color="000000" w:fill="FFFF99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 </w:t>
            </w:r>
          </w:p>
        </w:tc>
      </w:tr>
      <w:tr w:rsidR="00B21011" w:rsidRPr="00FA07C6" w:rsidTr="003214FB">
        <w:trPr>
          <w:trHeight w:val="360"/>
        </w:trPr>
        <w:tc>
          <w:tcPr>
            <w:tcW w:w="4635" w:type="dxa"/>
            <w:gridSpan w:val="3"/>
            <w:tcBorders>
              <w:bottom w:val="nil"/>
            </w:tcBorders>
            <w:shd w:val="clear" w:color="000000" w:fill="FFFF99"/>
            <w:vAlign w:val="center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A07C6">
              <w:rPr>
                <w:rFonts w:ascii="Garamond" w:hAnsi="Garamond" w:cs="Arial"/>
                <w:b/>
                <w:bCs/>
              </w:rPr>
              <w:t>CIJENA PONUDE (kn s PDV-om):</w:t>
            </w:r>
          </w:p>
        </w:tc>
        <w:tc>
          <w:tcPr>
            <w:tcW w:w="6274" w:type="dxa"/>
            <w:gridSpan w:val="4"/>
            <w:tcBorders>
              <w:bottom w:val="nil"/>
            </w:tcBorders>
            <w:shd w:val="clear" w:color="000000" w:fill="FFFF99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 </w:t>
            </w: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8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Spremni smo izvesti i u potpunosti završiti radove prema ovom Troškovniku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  <w:p w:rsidR="00B21011" w:rsidRPr="009F585E" w:rsidRDefault="00B21011" w:rsidP="003214FB">
            <w:pPr>
              <w:rPr>
                <w:rFonts w:ascii="Garamond" w:hAnsi="Garamond" w:cs="Arial"/>
                <w:b/>
                <w:i/>
              </w:rPr>
            </w:pPr>
            <w:r w:rsidRPr="009F585E">
              <w:rPr>
                <w:rFonts w:ascii="Garamond" w:hAnsi="Garamond" w:cs="Arial"/>
                <w:b/>
                <w:i/>
              </w:rPr>
              <w:t>Konačni obračun provesti će se prema stvarnim količinama i izvedenim radovima ovjerenim od strane nadzornog inženjera.</w:t>
            </w: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Mjesto i datum: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_______________________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________________________________</w:t>
            </w: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Ovjerava ovlaštena osoba ponuditelja</w:t>
            </w: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jc w:val="center"/>
              <w:rPr>
                <w:rFonts w:ascii="Garamond" w:hAnsi="Garamond" w:cs="Arial"/>
              </w:rPr>
            </w:pPr>
            <w:r w:rsidRPr="00FA07C6">
              <w:rPr>
                <w:rFonts w:ascii="Garamond" w:hAnsi="Garamond" w:cs="Arial"/>
              </w:rPr>
              <w:t>(ime i prezime, potpis)</w:t>
            </w: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  <w:tr w:rsidR="00B21011" w:rsidRPr="00FA07C6" w:rsidTr="003214FB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11" w:rsidRPr="00FA07C6" w:rsidRDefault="00B21011" w:rsidP="003214FB">
            <w:pPr>
              <w:rPr>
                <w:rFonts w:ascii="Garamond" w:hAnsi="Garamond" w:cs="Arial"/>
              </w:rPr>
            </w:pPr>
          </w:p>
        </w:tc>
      </w:tr>
    </w:tbl>
    <w:p w:rsidR="00B21011" w:rsidRDefault="00B21011" w:rsidP="00B21011">
      <w:pPr>
        <w:jc w:val="both"/>
        <w:rPr>
          <w:rFonts w:ascii="Garamond" w:hAnsi="Garamond"/>
          <w:i/>
          <w:sz w:val="20"/>
          <w:szCs w:val="20"/>
        </w:rPr>
      </w:pPr>
    </w:p>
    <w:p w:rsidR="00B06E76" w:rsidRDefault="00B06E76"/>
    <w:sectPr w:rsidR="00B0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1"/>
    <w:rsid w:val="00B06E76"/>
    <w:rsid w:val="00B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</cp:revision>
  <dcterms:created xsi:type="dcterms:W3CDTF">2015-09-28T11:23:00Z</dcterms:created>
  <dcterms:modified xsi:type="dcterms:W3CDTF">2015-09-28T11:30:00Z</dcterms:modified>
</cp:coreProperties>
</file>